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8309-2_4seq1.xml.htm"/>
      <w:bookmarkStart w:id="1" w:name="kstm2618309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KIRSCH ARTHUR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419 DAVIS DRIVE,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Liquidia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LQDA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46,637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shall vest upon the earlier of (i) the one-year anniversary of the date of grant or (ii) the day prior to the Issuer's next annual shareholder meeting following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Arthur S. Kirsch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0976" TargetMode="External"/><Relationship Id="rId5" Type="http://schemas.openxmlformats.org/officeDocument/2006/relationships/hyperlink" Target="http://www.sec.gov/cgi-bin/browse-edgar?action=getcompany&amp;CIK=00018195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3245</Characters>
  <CharactersWithSpaces>3791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