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8309-3_4seq1.xml.htm"/>
      <w:bookmarkStart w:id="1" w:name="kstm2618309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Horobin Joanna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419 DAVIS DRIVE, SUITE 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Liquidia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39,637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upon the earlier of (i) the one-year anniversary of the date of grant or (ii) the day prior to the Issuer's next annual shareholder meeting following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Dr. Joanna Horobin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0959" TargetMode="External"/><Relationship Id="rId5" Type="http://schemas.openxmlformats.org/officeDocument/2006/relationships/hyperlink" Target="http://www.sec.gov/cgi-bin/browse-edgar?action=getcompany&amp;CIK=0001819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3247</Characters>
  <CharactersWithSpaces>3793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