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8309-5_4seq1.xml.htm"/>
      <w:bookmarkStart w:id="1" w:name="kstm26183095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Bloch Stephen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5"/>
        <w:gridCol w:w="902"/>
        <w:gridCol w:w="771"/>
        <w:gridCol w:w="599"/>
        <w:gridCol w:w="349"/>
        <w:gridCol w:w="892"/>
        <w:gridCol w:w="458"/>
        <w:gridCol w:w="620"/>
        <w:gridCol w:w="1168"/>
        <w:gridCol w:w="1001"/>
        <w:gridCol w:w="103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980,073</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4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5,882</w:t>
            </w:r>
            <w:r>
              <w:rPr>
                <w:rFonts w:ascii="Times;serif" w:hAnsi="Times;serif"/>
                <w:color w:val="008000"/>
                <w:position w:val="7"/>
                <w:sz w:val="16"/>
                <w:sz w:val="20"/>
                <w:shd w:fill="FFFFFF" w:val="clear"/>
              </w:rPr>
              <w:t>(3)</w:t>
            </w:r>
            <w:r>
              <w:rPr/>
              <w:t xml:space="preserve"> </w:t>
            </w:r>
          </w:p>
        </w:tc>
        <w:tc>
          <w:tcPr>
            <w:tcW w:w="4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71,594</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are held directly by Canaan VIII L.P. ("Canaan LP"). Canaan Partners VIII LLC ("Canaan LLC" and together with Canaan LP, the "Canaan Entities") is the sole general partner of Canaan LP. Investment and voting decisions with respect to the securities held by Canaan LP are made by the managers of Canaan LLC, collectively. The Reporting Person disclaims beneficial ownership of the securities held by the Canaan Entities, except to the extent of his pecuniary interest, if any, in such securities by virtue of the limited liability company interests he owns in Canaan LLC. The Canaan Entities have instituted a communications-screen policy with respect to securities matters relating to the Issuer, and the Reporting Person did not participate in this investment decision.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("RSUs")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shall vest upon the earlier of (i) the one-year anniversary of the date of grant or (ii) the day prior to the Issuer's next annual shareholder meeting following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 Stephen M. Bloch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0308"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736</Words>
  <Characters>3946</Characters>
  <CharactersWithSpaces>4620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